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11E03AD6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DD3A23" w:rsidRPr="00DD3A23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Technické vybavenie III.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ID zákazky </w:t>
      </w:r>
      <w:r w:rsidR="00DD3A2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60054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195F0E66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DD3A23">
        <w:rPr>
          <w:rFonts w:ascii="Arial Narrow" w:hAnsi="Arial Narrow"/>
        </w:rPr>
        <w:t>október</w:t>
      </w:r>
      <w:r w:rsidR="00D14A00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413445">
        <w:rPr>
          <w:rFonts w:ascii="Arial Narrow" w:hAnsi="Arial Narrow"/>
        </w:rPr>
        <w:t>4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7A5BF6">
        <w:rPr>
          <w:rFonts w:ascii="Arial Narrow" w:hAnsi="Arial Narrow"/>
        </w:rPr>
        <w:t>martina.hlavova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38F01ABA" w:rsidR="00ED48E3" w:rsidRPr="00042EE2" w:rsidRDefault="00ED48E3" w:rsidP="008A38F0">
      <w:pPr>
        <w:spacing w:line="276" w:lineRule="auto"/>
        <w:jc w:val="both"/>
        <w:rPr>
          <w:rStyle w:val="Hypertextovprepojenie"/>
        </w:rPr>
      </w:pPr>
      <w:r w:rsidRPr="00ED48E3">
        <w:rPr>
          <w:rFonts w:ascii="Arial Narrow" w:hAnsi="Arial Narrow"/>
        </w:rPr>
        <w:t xml:space="preserve">KO: </w:t>
      </w:r>
      <w:hyperlink r:id="rId8" w:history="1">
        <w:r w:rsidR="00DD3A23" w:rsidRPr="00DD3A23">
          <w:rPr>
            <w:rStyle w:val="Hypertextovprepojenie"/>
            <w:rFonts w:ascii="Arial Narrow" w:hAnsi="Arial Narrow"/>
          </w:rPr>
          <w:t>https://josephine.proebiz.com/sk/tender/60054/summary</w:t>
        </w:r>
      </w:hyperlink>
      <w:r w:rsidR="00DD3A23">
        <w:t xml:space="preserve"> </w:t>
      </w:r>
      <w:r w:rsidR="00217F54"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23C5DCA3" w:rsidR="00BC4B6D" w:rsidRPr="008A38F0" w:rsidRDefault="00EC4F1A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EC4F1A">
        <w:rPr>
          <w:rFonts w:ascii="Arial Narrow" w:hAnsi="Arial Narrow"/>
          <w:sz w:val="24"/>
          <w:szCs w:val="24"/>
        </w:rPr>
        <w:t xml:space="preserve">Predmetom </w:t>
      </w:r>
      <w:r w:rsidRPr="00382D7F">
        <w:rPr>
          <w:rFonts w:ascii="Arial Narrow" w:hAnsi="Arial Narrow"/>
          <w:sz w:val="24"/>
          <w:szCs w:val="24"/>
        </w:rPr>
        <w:t xml:space="preserve">zákazky je nákup hardvérového vybavenia pre útvary MV SR, na zabezpečenie chodu rezortu a s tým súvisiace služby </w:t>
      </w:r>
      <w:r w:rsidR="00EC5D0F" w:rsidRPr="00382D7F">
        <w:rPr>
          <w:rFonts w:ascii="Arial Narrow" w:hAnsi="Arial Narrow"/>
          <w:sz w:val="24"/>
          <w:szCs w:val="24"/>
        </w:rPr>
        <w:t xml:space="preserve">v množstve </w:t>
      </w:r>
      <w:r w:rsidR="00E600D3" w:rsidRPr="00382D7F">
        <w:rPr>
          <w:rFonts w:ascii="Arial Narrow" w:hAnsi="Arial Narrow"/>
          <w:sz w:val="24"/>
          <w:szCs w:val="24"/>
        </w:rPr>
        <w:t>podľa prílohy č. 1</w:t>
      </w:r>
      <w:r w:rsidR="0045327A" w:rsidRPr="00382D7F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4172CCED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DD3A23">
        <w:rPr>
          <w:rFonts w:ascii="Arial Narrow" w:hAnsi="Arial Narrow"/>
          <w:b/>
          <w:bCs/>
          <w:color w:val="000000"/>
        </w:rPr>
        <w:t>15 855,60</w:t>
      </w:r>
      <w:r w:rsidR="00413445" w:rsidRPr="00413445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6B66B38D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413445">
        <w:rPr>
          <w:rFonts w:ascii="Arial Narrow" w:hAnsi="Arial Narrow"/>
        </w:rPr>
        <w:t xml:space="preserve"> do </w:t>
      </w:r>
      <w:r w:rsidR="00DD3A23">
        <w:rPr>
          <w:rFonts w:ascii="Arial Narrow" w:hAnsi="Arial Narrow"/>
          <w:b/>
        </w:rPr>
        <w:t>30</w:t>
      </w:r>
      <w:r w:rsidR="00787DD1" w:rsidRPr="00E72B07">
        <w:rPr>
          <w:rFonts w:ascii="Arial Narrow" w:hAnsi="Arial Narrow"/>
          <w:b/>
          <w:sz w:val="22"/>
          <w:szCs w:val="22"/>
        </w:rPr>
        <w:t xml:space="preserve">  dní</w:t>
      </w:r>
      <w:r w:rsidR="00787DD1" w:rsidRPr="00B57D54">
        <w:rPr>
          <w:rFonts w:ascii="Arial Narrow" w:hAnsi="Arial Narrow"/>
          <w:sz w:val="22"/>
          <w:szCs w:val="22"/>
        </w:rPr>
        <w:t xml:space="preserve"> 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0C4390B4" w14:textId="06226A59" w:rsidR="009C6825" w:rsidRPr="00DD513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 xml:space="preserve">Predmet zákazky bude </w:t>
      </w:r>
      <w:r w:rsidRPr="0057776F">
        <w:rPr>
          <w:rFonts w:ascii="Arial Narrow" w:hAnsi="Arial Narrow"/>
          <w:sz w:val="24"/>
          <w:szCs w:val="24"/>
        </w:rPr>
        <w:t>financovaný z rozpočtovaných prostriedkov verejného obstarávateľa</w:t>
      </w:r>
      <w:r w:rsidR="00DD5135" w:rsidRPr="0057776F">
        <w:rPr>
          <w:rFonts w:ascii="Arial Narrow" w:hAnsi="Arial Narrow"/>
          <w:sz w:val="24"/>
          <w:szCs w:val="24"/>
          <w:lang w:val="sk-SK"/>
        </w:rPr>
        <w:t>.</w:t>
      </w:r>
    </w:p>
    <w:p w14:paraId="1712F18E" w14:textId="77777777"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91746BF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</w:t>
      </w:r>
      <w:r w:rsidR="009C6825" w:rsidRPr="00E727F5">
        <w:rPr>
          <w:rFonts w:ascii="Arial Narrow" w:hAnsi="Arial Narrow"/>
        </w:rPr>
        <w:t xml:space="preserve">ponuku. </w:t>
      </w:r>
      <w:r w:rsidR="00984AAD" w:rsidRPr="00E727F5">
        <w:rPr>
          <w:rFonts w:ascii="Arial Narrow" w:hAnsi="Arial Narrow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bookmarkStart w:id="5" w:name="_GoBack"/>
      <w:bookmarkEnd w:id="5"/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AF6CFE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B31EB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EF38F4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proofErr w:type="spellStart"/>
      <w:r w:rsidR="002A69F0">
        <w:rPr>
          <w:rFonts w:ascii="Arial Narrow" w:hAnsi="Arial Narrow"/>
        </w:rPr>
        <w:t>Edge</w:t>
      </w:r>
      <w:proofErr w:type="spellEnd"/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7A9E4B57" w:rsidR="009C6825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ED3B0" w14:textId="77777777" w:rsidR="00CB7E87" w:rsidRDefault="00CB7E87">
      <w:r>
        <w:separator/>
      </w:r>
    </w:p>
  </w:endnote>
  <w:endnote w:type="continuationSeparator" w:id="0">
    <w:p w14:paraId="39C3A9BB" w14:textId="77777777" w:rsidR="00CB7E87" w:rsidRDefault="00CB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85C25" w14:textId="77777777" w:rsidR="00DD3A23" w:rsidRDefault="00DD3A2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53AD5E62" w:rsidR="00312F97" w:rsidRPr="00BA0827" w:rsidRDefault="00DD3A23" w:rsidP="00BA0827">
    <w:pPr>
      <w:pStyle w:val="Pta"/>
      <w:rPr>
        <w:lang w:val="sk-SK"/>
      </w:rPr>
    </w:pPr>
    <w:r w:rsidRPr="00DD3A23">
      <w:rPr>
        <w:sz w:val="20"/>
        <w:lang w:val="sk-SK"/>
      </w:rPr>
      <w:t>Technické vybavenie III.</w:t>
    </w:r>
    <w:r w:rsidR="00413445" w:rsidRPr="00DD3A23">
      <w:rPr>
        <w:sz w:val="20"/>
        <w:lang w:val="sk-SK"/>
      </w:rPr>
      <w:t xml:space="preserve"> </w:t>
    </w:r>
    <w:r w:rsidR="00BA0827" w:rsidRPr="00DD3A23">
      <w:rPr>
        <w:sz w:val="20"/>
      </w:rPr>
      <w:t xml:space="preserve">- </w:t>
    </w:r>
    <w:r w:rsidR="00BA0827" w:rsidRPr="00DD3A23">
      <w:rPr>
        <w:sz w:val="20"/>
        <w:lang w:val="sk-SK"/>
      </w:rPr>
      <w:t xml:space="preserve">ID </w:t>
    </w:r>
    <w:r>
      <w:rPr>
        <w:sz w:val="20"/>
        <w:lang w:val="sk-SK"/>
      </w:rPr>
      <w:t>60054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E727F5" w:rsidRPr="00E727F5">
      <w:rPr>
        <w:b/>
        <w:bCs/>
        <w:noProof/>
        <w:sz w:val="20"/>
        <w:szCs w:val="22"/>
        <w:lang w:val="sk-SK"/>
      </w:rPr>
      <w:t>4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E727F5" w:rsidRPr="00E727F5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B2645" w14:textId="77777777" w:rsidR="00DD3A23" w:rsidRDefault="00DD3A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84FF5" w14:textId="77777777" w:rsidR="00CB7E87" w:rsidRDefault="00CB7E87">
      <w:r>
        <w:separator/>
      </w:r>
    </w:p>
  </w:footnote>
  <w:footnote w:type="continuationSeparator" w:id="0">
    <w:p w14:paraId="3E6C840A" w14:textId="77777777" w:rsidR="00CB7E87" w:rsidRDefault="00CB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3D4E7" w14:textId="77777777" w:rsidR="00DD3A23" w:rsidRDefault="00DD3A2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CE61D" w14:textId="77777777" w:rsidR="00DD3A23" w:rsidRDefault="00DD3A2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45DE"/>
    <w:rsid w:val="0003621F"/>
    <w:rsid w:val="0004067F"/>
    <w:rsid w:val="00040F32"/>
    <w:rsid w:val="00041B90"/>
    <w:rsid w:val="00042252"/>
    <w:rsid w:val="000425CF"/>
    <w:rsid w:val="00042EE2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59A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2D7F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1280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10D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AD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4A5"/>
    <w:rsid w:val="009B1C83"/>
    <w:rsid w:val="009B31EB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162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B7E87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A23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27F5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4F1A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2F30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564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0054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29721-C4AA-4B39-BC79-43E8DB8B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59</TotalTime>
  <Pages>9</Pages>
  <Words>3018</Words>
  <Characters>17204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20182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18</cp:revision>
  <cp:lastPrinted>2023-04-04T05:36:00Z</cp:lastPrinted>
  <dcterms:created xsi:type="dcterms:W3CDTF">2023-09-13T07:07:00Z</dcterms:created>
  <dcterms:modified xsi:type="dcterms:W3CDTF">2024-10-14T09:45:00Z</dcterms:modified>
</cp:coreProperties>
</file>